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F2" w:rsidRPr="00742D2B" w:rsidRDefault="00C50EF2" w:rsidP="00742D2B">
      <w:pPr>
        <w:shd w:val="clear" w:color="auto" w:fill="D6E3BC" w:themeFill="accent3" w:themeFillTint="66"/>
        <w:rPr>
          <w:rFonts w:ascii="Times New Roman" w:hAnsi="Times New Roman" w:cs="Times New Roman"/>
          <w:b/>
          <w:sz w:val="24"/>
          <w:szCs w:val="24"/>
        </w:rPr>
      </w:pPr>
      <w:r w:rsidRPr="00742D2B">
        <w:rPr>
          <w:rFonts w:ascii="Times New Roman" w:hAnsi="Times New Roman" w:cs="Times New Roman"/>
          <w:b/>
          <w:sz w:val="24"/>
          <w:szCs w:val="24"/>
        </w:rPr>
        <w:t>ACTUALIZACIÓN DE LOS DOCUMENTOS INSTITUCIONALES.</w:t>
      </w:r>
    </w:p>
    <w:p w:rsidR="00C50EF2" w:rsidRPr="00742D2B" w:rsidRDefault="00C50EF2" w:rsidP="00742D2B">
      <w:pPr>
        <w:pStyle w:val="NormalWeb"/>
        <w:ind w:firstLine="708"/>
        <w:jc w:val="both"/>
      </w:pPr>
      <w:r w:rsidRPr="00742D2B">
        <w:t>Desde nuestro centro hemos ido adaptando el currículo y la metodología de trabajo a la nueva legislación vigente</w:t>
      </w:r>
      <w:r w:rsidR="004C0FCF" w:rsidRPr="00742D2B">
        <w:t xml:space="preserve"> y teniendo en cuenta nuestros ideales de enseñanza</w:t>
      </w:r>
      <w:r w:rsidRPr="00742D2B">
        <w:t xml:space="preserve">. Esto se ha hecho efectivo de manera escalonada a lo largo de cinco cursos académicos, en los que hemos ido adaptando no sólo el currículo y los contenidos trabajados sino también la metodología de trabajo. </w:t>
      </w:r>
    </w:p>
    <w:p w:rsidR="00C50EF2" w:rsidRPr="00742D2B" w:rsidRDefault="00C50EF2" w:rsidP="00742D2B">
      <w:pPr>
        <w:pStyle w:val="NormalWeb"/>
        <w:ind w:firstLine="708"/>
        <w:jc w:val="both"/>
      </w:pPr>
      <w:r w:rsidRPr="00742D2B">
        <w:t xml:space="preserve">Actualmente </w:t>
      </w:r>
      <w:r w:rsidR="008C24D8">
        <w:t>trabajamos en base a la ley vigente</w:t>
      </w:r>
      <w:r w:rsidRPr="00742D2B">
        <w:t xml:space="preserve"> </w:t>
      </w:r>
      <w:r w:rsidR="00242CCD" w:rsidRPr="00742D2B">
        <w:t>LOM</w:t>
      </w:r>
      <w:r w:rsidR="005F7D03">
        <w:t>LOE</w:t>
      </w:r>
      <w:r w:rsidR="004C0FCF" w:rsidRPr="00742D2B">
        <w:t>, pero a su vez hemos logrado diseñar un plan de trabajo por centros de interés, métodos y recreación de situaciones cotidianas en las que se desarrollen de manera natu</w:t>
      </w:r>
      <w:r w:rsidR="00242CCD" w:rsidRPr="00742D2B">
        <w:t>ral todas las competencias</w:t>
      </w:r>
      <w:r w:rsidR="004C0FCF" w:rsidRPr="00742D2B">
        <w:t xml:space="preserve"> haciendo </w:t>
      </w:r>
      <w:r w:rsidR="008C24D8">
        <w:t>a</w:t>
      </w:r>
      <w:r w:rsidR="005F7D03">
        <w:t>l alumnado más autónomo, resolutivo, democrático, solidario</w:t>
      </w:r>
      <w:r w:rsidR="004C0FCF" w:rsidRPr="00742D2B">
        <w:t xml:space="preserve">, emprendedor y creativo. </w:t>
      </w:r>
    </w:p>
    <w:p w:rsidR="00C50EF2" w:rsidRPr="00742D2B" w:rsidRDefault="00C50EF2" w:rsidP="00742D2B">
      <w:pPr>
        <w:pStyle w:val="NormalWeb"/>
        <w:ind w:firstLine="708"/>
        <w:jc w:val="both"/>
      </w:pPr>
      <w:r w:rsidRPr="00742D2B">
        <w:t xml:space="preserve">Desde Educación Infantil </w:t>
      </w:r>
      <w:r w:rsidR="004C0FCF" w:rsidRPr="00742D2B">
        <w:t xml:space="preserve">trabajamos </w:t>
      </w:r>
      <w:r w:rsidRPr="00742D2B">
        <w:t>con una metodología basada en el</w:t>
      </w:r>
      <w:r w:rsidR="00242CCD" w:rsidRPr="00742D2B">
        <w:t xml:space="preserve"> desarrollo de las competencias</w:t>
      </w:r>
      <w:r w:rsidRPr="00742D2B">
        <w:t>, dando especial importancia al desarrollo de la  inteligencia emocional. Todo ello desde una metodología global basada en el trabajo por rincones. Llegando hasta la etapa de primaria donde los contenidos se presentan de igual manera de forma globalizada, favoreciendo la implicación y</w:t>
      </w:r>
      <w:r w:rsidR="005F7D03">
        <w:t xml:space="preserve"> participación de nuestro</w:t>
      </w:r>
      <w:r w:rsidRPr="00742D2B">
        <w:t xml:space="preserve"> alumn</w:t>
      </w:r>
      <w:r w:rsidR="005F7D03">
        <w:t>ado</w:t>
      </w:r>
      <w:r w:rsidRPr="00742D2B">
        <w:t>, facilitando el</w:t>
      </w:r>
      <w:r w:rsidR="00242CCD" w:rsidRPr="00742D2B">
        <w:t xml:space="preserve"> desarrollo de las competencias</w:t>
      </w:r>
      <w:r w:rsidRPr="00742D2B">
        <w:t xml:space="preserve"> a través de la investigación, la autonomía d</w:t>
      </w:r>
      <w:r w:rsidR="000479EB" w:rsidRPr="00742D2B">
        <w:t>el trabajo, la búsqueda activa, etc</w:t>
      </w:r>
      <w:r w:rsidRPr="00742D2B">
        <w:t xml:space="preserve">. </w:t>
      </w:r>
    </w:p>
    <w:p w:rsidR="00C50EF2" w:rsidRPr="00742D2B" w:rsidRDefault="004C0FCF" w:rsidP="00742D2B">
      <w:pPr>
        <w:pStyle w:val="NormalWeb"/>
        <w:ind w:firstLine="708"/>
        <w:jc w:val="both"/>
      </w:pPr>
      <w:r w:rsidRPr="00742D2B">
        <w:t xml:space="preserve">Nuestro nuevo sistema </w:t>
      </w:r>
      <w:r w:rsidR="00C50EF2" w:rsidRPr="00742D2B">
        <w:t>nos ha permitido identificar aquellos aprendizajes que se consideran imprescindibles para vivir e integrarse en la sociedad de modo crítico, contribuyendo al</w:t>
      </w:r>
      <w:r w:rsidR="005F7D03">
        <w:t xml:space="preserve"> desarrollo integral de nuestro</w:t>
      </w:r>
      <w:r w:rsidR="00C50EF2" w:rsidRPr="00742D2B">
        <w:t xml:space="preserve"> alumn</w:t>
      </w:r>
      <w:r w:rsidR="005F7D03">
        <w:t>ado</w:t>
      </w:r>
      <w:r w:rsidR="00C50EF2" w:rsidRPr="00742D2B">
        <w:t>, con un planteamiento orientado a la aplicación de las habilidades culturales, sociales y ciudadanas adquiridas y al ejercicio de un aprendizaje más significativo y permanente del alumnado.</w:t>
      </w:r>
    </w:p>
    <w:p w:rsidR="00030EF5" w:rsidRPr="00742D2B" w:rsidRDefault="00821FAD" w:rsidP="00742D2B">
      <w:pPr>
        <w:autoSpaceDE w:val="0"/>
        <w:autoSpaceDN w:val="0"/>
        <w:adjustRightInd w:val="0"/>
        <w:spacing w:after="0" w:line="240" w:lineRule="auto"/>
        <w:ind w:firstLine="708"/>
        <w:jc w:val="both"/>
        <w:rPr>
          <w:rFonts w:ascii="Times New Roman" w:hAnsi="Times New Roman" w:cs="Times New Roman"/>
          <w:sz w:val="24"/>
          <w:szCs w:val="24"/>
        </w:rPr>
      </w:pPr>
      <w:r w:rsidRPr="00742D2B">
        <w:rPr>
          <w:rFonts w:ascii="Times New Roman" w:hAnsi="Times New Roman" w:cs="Times New Roman"/>
          <w:sz w:val="24"/>
          <w:szCs w:val="24"/>
        </w:rPr>
        <w:t xml:space="preserve">Con estas pretensiones hemos ido desarrollando a lo largo de estos cursos los documentos institucionales de la PGA. Para este primer trimestre del curso pretendemos actualizar toda esta documentación, para ello se establece un plan de trabajo que se especifica a </w:t>
      </w:r>
      <w:r w:rsidR="00030EF5" w:rsidRPr="00742D2B">
        <w:rPr>
          <w:rFonts w:ascii="Times New Roman" w:hAnsi="Times New Roman" w:cs="Times New Roman"/>
          <w:sz w:val="24"/>
          <w:szCs w:val="24"/>
        </w:rPr>
        <w:t>continuación:</w:t>
      </w:r>
    </w:p>
    <w:p w:rsidR="00030EF5" w:rsidRPr="00742D2B" w:rsidRDefault="00C50EF2" w:rsidP="00030EF5">
      <w:pPr>
        <w:autoSpaceDE w:val="0"/>
        <w:autoSpaceDN w:val="0"/>
        <w:adjustRightInd w:val="0"/>
        <w:spacing w:after="0" w:line="240" w:lineRule="auto"/>
        <w:rPr>
          <w:rFonts w:ascii="Times New Roman" w:hAnsi="Times New Roman" w:cs="Times New Roman"/>
          <w:sz w:val="24"/>
          <w:szCs w:val="24"/>
        </w:rPr>
      </w:pPr>
      <w:r w:rsidRPr="00742D2B">
        <w:rPr>
          <w:rFonts w:ascii="Times New Roman" w:hAnsi="Times New Roman" w:cs="Times New Roman"/>
          <w:sz w:val="24"/>
          <w:szCs w:val="24"/>
        </w:rPr>
        <w:t xml:space="preserve"> </w:t>
      </w:r>
    </w:p>
    <w:tbl>
      <w:tblPr>
        <w:tblStyle w:val="Tablaconcuadrcula"/>
        <w:tblW w:w="0" w:type="auto"/>
        <w:jc w:val="center"/>
        <w:tblLook w:val="04A0"/>
      </w:tblPr>
      <w:tblGrid>
        <w:gridCol w:w="2150"/>
        <w:gridCol w:w="2825"/>
        <w:gridCol w:w="2657"/>
        <w:gridCol w:w="2496"/>
      </w:tblGrid>
      <w:tr w:rsidR="00030EF5" w:rsidRPr="00742D2B" w:rsidTr="00742D2B">
        <w:trPr>
          <w:jc w:val="center"/>
        </w:trPr>
        <w:tc>
          <w:tcPr>
            <w:tcW w:w="2150" w:type="dxa"/>
            <w:tcBorders>
              <w:top w:val="thinThickSmallGap" w:sz="24" w:space="0" w:color="auto"/>
              <w:left w:val="thinThickSmallGap" w:sz="24" w:space="0" w:color="auto"/>
              <w:bottom w:val="double" w:sz="4" w:space="0" w:color="auto"/>
            </w:tcBorders>
            <w:shd w:val="clear" w:color="auto" w:fill="D6E3BC" w:themeFill="accent3" w:themeFillTint="66"/>
          </w:tcPr>
          <w:p w:rsidR="00030EF5" w:rsidRPr="00742D2B" w:rsidRDefault="00030EF5" w:rsidP="00030EF5">
            <w:pPr>
              <w:autoSpaceDE w:val="0"/>
              <w:autoSpaceDN w:val="0"/>
              <w:adjustRightInd w:val="0"/>
              <w:jc w:val="center"/>
              <w:rPr>
                <w:rFonts w:ascii="Times New Roman" w:hAnsi="Times New Roman" w:cs="Times New Roman"/>
                <w:b/>
                <w:sz w:val="24"/>
                <w:szCs w:val="24"/>
              </w:rPr>
            </w:pPr>
            <w:r w:rsidRPr="00742D2B">
              <w:rPr>
                <w:rFonts w:ascii="Times New Roman" w:hAnsi="Times New Roman" w:cs="Times New Roman"/>
                <w:b/>
                <w:sz w:val="24"/>
                <w:szCs w:val="24"/>
              </w:rPr>
              <w:t>ÁMBITO</w:t>
            </w:r>
          </w:p>
        </w:tc>
        <w:tc>
          <w:tcPr>
            <w:tcW w:w="2825" w:type="dxa"/>
            <w:tcBorders>
              <w:top w:val="thinThickSmallGap" w:sz="24" w:space="0" w:color="auto"/>
              <w:bottom w:val="double" w:sz="4" w:space="0" w:color="auto"/>
            </w:tcBorders>
            <w:shd w:val="clear" w:color="auto" w:fill="D6E3BC" w:themeFill="accent3" w:themeFillTint="66"/>
          </w:tcPr>
          <w:p w:rsidR="00030EF5" w:rsidRPr="00742D2B" w:rsidRDefault="00030EF5" w:rsidP="00030EF5">
            <w:pPr>
              <w:autoSpaceDE w:val="0"/>
              <w:autoSpaceDN w:val="0"/>
              <w:adjustRightInd w:val="0"/>
              <w:jc w:val="center"/>
              <w:rPr>
                <w:rFonts w:ascii="Times New Roman" w:hAnsi="Times New Roman" w:cs="Times New Roman"/>
                <w:b/>
                <w:sz w:val="24"/>
                <w:szCs w:val="24"/>
              </w:rPr>
            </w:pPr>
            <w:r w:rsidRPr="00742D2B">
              <w:rPr>
                <w:rFonts w:ascii="Times New Roman" w:hAnsi="Times New Roman" w:cs="Times New Roman"/>
                <w:b/>
                <w:sz w:val="24"/>
                <w:szCs w:val="24"/>
              </w:rPr>
              <w:t>DOCUMENTO</w:t>
            </w:r>
          </w:p>
        </w:tc>
        <w:tc>
          <w:tcPr>
            <w:tcW w:w="2657" w:type="dxa"/>
            <w:tcBorders>
              <w:top w:val="thinThickSmallGap" w:sz="24" w:space="0" w:color="auto"/>
              <w:bottom w:val="double" w:sz="4" w:space="0" w:color="auto"/>
            </w:tcBorders>
            <w:shd w:val="clear" w:color="auto" w:fill="D6E3BC" w:themeFill="accent3" w:themeFillTint="66"/>
          </w:tcPr>
          <w:p w:rsidR="00030EF5" w:rsidRPr="00742D2B" w:rsidRDefault="00030EF5" w:rsidP="00030EF5">
            <w:pPr>
              <w:autoSpaceDE w:val="0"/>
              <w:autoSpaceDN w:val="0"/>
              <w:adjustRightInd w:val="0"/>
              <w:jc w:val="center"/>
              <w:rPr>
                <w:rFonts w:ascii="Times New Roman" w:hAnsi="Times New Roman" w:cs="Times New Roman"/>
                <w:b/>
                <w:sz w:val="24"/>
                <w:szCs w:val="24"/>
              </w:rPr>
            </w:pPr>
            <w:r w:rsidRPr="00742D2B">
              <w:rPr>
                <w:rFonts w:ascii="Times New Roman" w:hAnsi="Times New Roman" w:cs="Times New Roman"/>
                <w:b/>
                <w:sz w:val="24"/>
                <w:szCs w:val="24"/>
              </w:rPr>
              <w:t>TEMPORALIZACIÓN</w:t>
            </w:r>
          </w:p>
        </w:tc>
        <w:tc>
          <w:tcPr>
            <w:tcW w:w="2496" w:type="dxa"/>
            <w:tcBorders>
              <w:top w:val="thinThickSmallGap" w:sz="24" w:space="0" w:color="auto"/>
              <w:bottom w:val="double" w:sz="4" w:space="0" w:color="auto"/>
              <w:right w:val="thinThickSmallGap" w:sz="24" w:space="0" w:color="auto"/>
            </w:tcBorders>
            <w:shd w:val="clear" w:color="auto" w:fill="D6E3BC" w:themeFill="accent3" w:themeFillTint="66"/>
          </w:tcPr>
          <w:p w:rsidR="00030EF5" w:rsidRPr="00742D2B" w:rsidRDefault="00030EF5" w:rsidP="00030EF5">
            <w:pPr>
              <w:autoSpaceDE w:val="0"/>
              <w:autoSpaceDN w:val="0"/>
              <w:adjustRightInd w:val="0"/>
              <w:jc w:val="center"/>
              <w:rPr>
                <w:rFonts w:ascii="Times New Roman" w:hAnsi="Times New Roman" w:cs="Times New Roman"/>
                <w:b/>
                <w:sz w:val="24"/>
                <w:szCs w:val="24"/>
              </w:rPr>
            </w:pPr>
            <w:r w:rsidRPr="00742D2B">
              <w:rPr>
                <w:rFonts w:ascii="Times New Roman" w:hAnsi="Times New Roman" w:cs="Times New Roman"/>
                <w:b/>
                <w:sz w:val="24"/>
                <w:szCs w:val="24"/>
              </w:rPr>
              <w:t>RESPONSABLES</w:t>
            </w:r>
          </w:p>
        </w:tc>
      </w:tr>
      <w:tr w:rsidR="00030EF5" w:rsidRPr="00742D2B" w:rsidTr="00B969D1">
        <w:trPr>
          <w:cantSplit/>
          <w:trHeight w:val="591"/>
          <w:jc w:val="center"/>
        </w:trPr>
        <w:tc>
          <w:tcPr>
            <w:tcW w:w="2150" w:type="dxa"/>
            <w:vMerge w:val="restart"/>
            <w:tcBorders>
              <w:top w:val="double" w:sz="4" w:space="0" w:color="auto"/>
              <w:left w:val="thinThickSmallGap" w:sz="24" w:space="0" w:color="auto"/>
            </w:tcBorders>
            <w:shd w:val="clear" w:color="auto" w:fill="EAF1DD" w:themeFill="accent3" w:themeFillTint="33"/>
          </w:tcPr>
          <w:p w:rsidR="00030EF5" w:rsidRPr="00742D2B" w:rsidRDefault="00030EF5" w:rsidP="00242CCD">
            <w:pPr>
              <w:autoSpaceDE w:val="0"/>
              <w:autoSpaceDN w:val="0"/>
              <w:adjustRightInd w:val="0"/>
              <w:jc w:val="center"/>
              <w:rPr>
                <w:rFonts w:ascii="Times New Roman" w:hAnsi="Times New Roman" w:cs="Times New Roman"/>
                <w:b/>
                <w:sz w:val="24"/>
                <w:szCs w:val="24"/>
              </w:rPr>
            </w:pPr>
            <w:r w:rsidRPr="00742D2B">
              <w:rPr>
                <w:rFonts w:ascii="Times New Roman" w:hAnsi="Times New Roman" w:cs="Times New Roman"/>
                <w:b/>
                <w:sz w:val="24"/>
                <w:szCs w:val="24"/>
              </w:rPr>
              <w:t>ORGANIZATIVO</w:t>
            </w:r>
          </w:p>
        </w:tc>
        <w:tc>
          <w:tcPr>
            <w:tcW w:w="2825" w:type="dxa"/>
            <w:tcBorders>
              <w:top w:val="double" w:sz="4" w:space="0" w:color="auto"/>
            </w:tcBorders>
          </w:tcPr>
          <w:p w:rsidR="00030EF5" w:rsidRPr="00B969D1" w:rsidRDefault="00030EF5"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Oferta educativa del centro</w:t>
            </w:r>
          </w:p>
        </w:tc>
        <w:tc>
          <w:tcPr>
            <w:tcW w:w="2657" w:type="dxa"/>
            <w:tcBorders>
              <w:top w:val="double" w:sz="4" w:space="0" w:color="auto"/>
            </w:tcBorders>
          </w:tcPr>
          <w:p w:rsidR="00030EF5" w:rsidRPr="00B969D1" w:rsidRDefault="00030EF5"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Septiembre-octubre</w:t>
            </w:r>
          </w:p>
        </w:tc>
        <w:tc>
          <w:tcPr>
            <w:tcW w:w="2496" w:type="dxa"/>
            <w:tcBorders>
              <w:top w:val="double" w:sz="4" w:space="0" w:color="auto"/>
              <w:right w:val="thinThickSmallGap" w:sz="24" w:space="0" w:color="auto"/>
            </w:tcBorders>
          </w:tcPr>
          <w:p w:rsidR="00030EF5" w:rsidRPr="00B969D1" w:rsidRDefault="00030EF5"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El claustro dinamizado por la dirección del centro.</w:t>
            </w:r>
          </w:p>
        </w:tc>
      </w:tr>
      <w:tr w:rsidR="00030EF5" w:rsidRPr="00742D2B" w:rsidTr="00742D2B">
        <w:trPr>
          <w:jc w:val="center"/>
        </w:trPr>
        <w:tc>
          <w:tcPr>
            <w:tcW w:w="2150" w:type="dxa"/>
            <w:vMerge/>
            <w:tcBorders>
              <w:left w:val="thinThickSmallGap" w:sz="24" w:space="0" w:color="auto"/>
            </w:tcBorders>
            <w:shd w:val="clear" w:color="auto" w:fill="EAF1DD" w:themeFill="accent3" w:themeFillTint="33"/>
          </w:tcPr>
          <w:p w:rsidR="00030EF5" w:rsidRPr="00742D2B" w:rsidRDefault="00030EF5" w:rsidP="00030EF5">
            <w:pPr>
              <w:autoSpaceDE w:val="0"/>
              <w:autoSpaceDN w:val="0"/>
              <w:adjustRightInd w:val="0"/>
              <w:rPr>
                <w:rFonts w:ascii="Times New Roman" w:hAnsi="Times New Roman" w:cs="Times New Roman"/>
                <w:sz w:val="24"/>
                <w:szCs w:val="24"/>
              </w:rPr>
            </w:pPr>
          </w:p>
        </w:tc>
        <w:tc>
          <w:tcPr>
            <w:tcW w:w="2825" w:type="dxa"/>
          </w:tcPr>
          <w:p w:rsidR="00030EF5" w:rsidRPr="00B969D1" w:rsidRDefault="00030EF5"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Criterios para la organización espaciotemporal de las actividades.</w:t>
            </w:r>
          </w:p>
        </w:tc>
        <w:tc>
          <w:tcPr>
            <w:tcW w:w="2657" w:type="dxa"/>
          </w:tcPr>
          <w:p w:rsidR="00030EF5" w:rsidRPr="00B969D1" w:rsidRDefault="00030EF5"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Septiembre</w:t>
            </w:r>
          </w:p>
        </w:tc>
        <w:tc>
          <w:tcPr>
            <w:tcW w:w="2496" w:type="dxa"/>
            <w:tcBorders>
              <w:right w:val="thinThickSmallGap" w:sz="24" w:space="0" w:color="auto"/>
            </w:tcBorders>
          </w:tcPr>
          <w:p w:rsidR="00030EF5" w:rsidRPr="00B969D1" w:rsidRDefault="00030EF5" w:rsidP="00CA49E8">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Coordinadores de etapa</w:t>
            </w:r>
            <w:r w:rsidR="00CA49E8" w:rsidRPr="00B969D1">
              <w:rPr>
                <w:rFonts w:ascii="Times New Roman" w:hAnsi="Times New Roman" w:cs="Times New Roman"/>
                <w:sz w:val="20"/>
                <w:szCs w:val="20"/>
              </w:rPr>
              <w:t xml:space="preserve"> y dirección</w:t>
            </w:r>
          </w:p>
        </w:tc>
      </w:tr>
      <w:tr w:rsidR="00030EF5" w:rsidRPr="00742D2B" w:rsidTr="00742D2B">
        <w:trPr>
          <w:trHeight w:val="384"/>
          <w:jc w:val="center"/>
        </w:trPr>
        <w:tc>
          <w:tcPr>
            <w:tcW w:w="2150" w:type="dxa"/>
            <w:vMerge/>
            <w:tcBorders>
              <w:left w:val="thinThickSmallGap" w:sz="24" w:space="0" w:color="auto"/>
              <w:bottom w:val="double" w:sz="4" w:space="0" w:color="auto"/>
            </w:tcBorders>
            <w:shd w:val="clear" w:color="auto" w:fill="EAF1DD" w:themeFill="accent3" w:themeFillTint="33"/>
          </w:tcPr>
          <w:p w:rsidR="00030EF5" w:rsidRPr="00742D2B" w:rsidRDefault="00030EF5" w:rsidP="00030EF5">
            <w:pPr>
              <w:autoSpaceDE w:val="0"/>
              <w:autoSpaceDN w:val="0"/>
              <w:adjustRightInd w:val="0"/>
              <w:rPr>
                <w:rFonts w:ascii="Times New Roman" w:hAnsi="Times New Roman" w:cs="Times New Roman"/>
                <w:sz w:val="24"/>
                <w:szCs w:val="24"/>
              </w:rPr>
            </w:pPr>
          </w:p>
        </w:tc>
        <w:tc>
          <w:tcPr>
            <w:tcW w:w="2825" w:type="dxa"/>
            <w:tcBorders>
              <w:bottom w:val="double" w:sz="4" w:space="0" w:color="auto"/>
            </w:tcBorders>
          </w:tcPr>
          <w:p w:rsidR="00030EF5" w:rsidRPr="00B969D1" w:rsidRDefault="00030EF5"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Org</w:t>
            </w:r>
            <w:r w:rsidR="00097319" w:rsidRPr="00B969D1">
              <w:rPr>
                <w:rFonts w:ascii="Times New Roman" w:hAnsi="Times New Roman" w:cs="Times New Roman"/>
                <w:b/>
                <w:sz w:val="20"/>
                <w:szCs w:val="20"/>
              </w:rPr>
              <w:t>anización y funcionamiento de</w:t>
            </w:r>
            <w:r w:rsidRPr="00B969D1">
              <w:rPr>
                <w:rFonts w:ascii="Times New Roman" w:hAnsi="Times New Roman" w:cs="Times New Roman"/>
                <w:b/>
                <w:sz w:val="20"/>
                <w:szCs w:val="20"/>
              </w:rPr>
              <w:t xml:space="preserve"> los servicios escolares</w:t>
            </w:r>
          </w:p>
        </w:tc>
        <w:tc>
          <w:tcPr>
            <w:tcW w:w="2657" w:type="dxa"/>
            <w:tcBorders>
              <w:bottom w:val="double" w:sz="4" w:space="0" w:color="auto"/>
            </w:tcBorders>
          </w:tcPr>
          <w:p w:rsidR="00030EF5" w:rsidRPr="00B969D1" w:rsidRDefault="00030EF5"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Septiembre-octubre</w:t>
            </w:r>
          </w:p>
        </w:tc>
        <w:tc>
          <w:tcPr>
            <w:tcW w:w="2496" w:type="dxa"/>
            <w:tcBorders>
              <w:bottom w:val="double" w:sz="4" w:space="0" w:color="auto"/>
              <w:right w:val="thinThickSmallGap" w:sz="24" w:space="0" w:color="auto"/>
            </w:tcBorders>
          </w:tcPr>
          <w:p w:rsidR="00030EF5" w:rsidRPr="00B969D1" w:rsidRDefault="00030EF5"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La dirección.</w:t>
            </w:r>
          </w:p>
        </w:tc>
      </w:tr>
      <w:tr w:rsidR="009B2599" w:rsidRPr="00742D2B" w:rsidTr="00742D2B">
        <w:trPr>
          <w:jc w:val="center"/>
        </w:trPr>
        <w:tc>
          <w:tcPr>
            <w:tcW w:w="2150" w:type="dxa"/>
            <w:vMerge w:val="restart"/>
            <w:tcBorders>
              <w:top w:val="double" w:sz="4" w:space="0" w:color="auto"/>
              <w:left w:val="thinThickSmallGap" w:sz="24" w:space="0" w:color="auto"/>
            </w:tcBorders>
            <w:shd w:val="clear" w:color="auto" w:fill="EAF1DD" w:themeFill="accent3" w:themeFillTint="33"/>
          </w:tcPr>
          <w:p w:rsidR="009B2599" w:rsidRPr="00742D2B" w:rsidRDefault="00AE131D" w:rsidP="00242CCD">
            <w:pPr>
              <w:autoSpaceDE w:val="0"/>
              <w:autoSpaceDN w:val="0"/>
              <w:adjustRightInd w:val="0"/>
              <w:rPr>
                <w:rFonts w:ascii="Times New Roman" w:hAnsi="Times New Roman" w:cs="Times New Roman"/>
                <w:b/>
                <w:sz w:val="24"/>
                <w:szCs w:val="24"/>
              </w:rPr>
            </w:pPr>
            <w:r w:rsidRPr="00742D2B">
              <w:rPr>
                <w:rFonts w:ascii="Times New Roman" w:hAnsi="Times New Roman" w:cs="Times New Roman"/>
                <w:b/>
                <w:sz w:val="24"/>
                <w:szCs w:val="24"/>
              </w:rPr>
              <w:t>PEDAGOGICOO</w:t>
            </w:r>
          </w:p>
        </w:tc>
        <w:tc>
          <w:tcPr>
            <w:tcW w:w="2825" w:type="dxa"/>
            <w:tcBorders>
              <w:top w:val="double" w:sz="4" w:space="0" w:color="auto"/>
            </w:tcBorders>
          </w:tcPr>
          <w:p w:rsidR="009B2599" w:rsidRPr="00B969D1" w:rsidRDefault="009B2599" w:rsidP="00AE131D">
            <w:pPr>
              <w:autoSpaceDE w:val="0"/>
              <w:autoSpaceDN w:val="0"/>
              <w:adjustRightInd w:val="0"/>
              <w:rPr>
                <w:rFonts w:ascii="Times New Roman" w:hAnsi="Times New Roman" w:cs="Times New Roman"/>
                <w:b/>
                <w:sz w:val="20"/>
                <w:szCs w:val="20"/>
              </w:rPr>
            </w:pPr>
            <w:r w:rsidRPr="00B969D1">
              <w:rPr>
                <w:rFonts w:ascii="Times New Roman" w:hAnsi="Times New Roman" w:cs="Times New Roman"/>
                <w:b/>
                <w:sz w:val="20"/>
                <w:szCs w:val="20"/>
              </w:rPr>
              <w:t>Criterios pedagógicos para la elaboración de horarios</w:t>
            </w:r>
            <w:r w:rsidR="00242CCD" w:rsidRPr="00B969D1">
              <w:rPr>
                <w:rFonts w:ascii="Times New Roman" w:hAnsi="Times New Roman" w:cs="Times New Roman"/>
                <w:b/>
                <w:sz w:val="20"/>
                <w:szCs w:val="20"/>
              </w:rPr>
              <w:t>.</w:t>
            </w:r>
          </w:p>
        </w:tc>
        <w:tc>
          <w:tcPr>
            <w:tcW w:w="2657" w:type="dxa"/>
            <w:tcBorders>
              <w:top w:val="double" w:sz="4" w:space="0" w:color="auto"/>
            </w:tcBorders>
          </w:tcPr>
          <w:p w:rsidR="009B2599" w:rsidRPr="00B969D1" w:rsidRDefault="00821FA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Septiembre</w:t>
            </w:r>
          </w:p>
        </w:tc>
        <w:tc>
          <w:tcPr>
            <w:tcW w:w="2496" w:type="dxa"/>
            <w:tcBorders>
              <w:top w:val="double" w:sz="4" w:space="0" w:color="auto"/>
              <w:right w:val="thinThickSmallGap" w:sz="24" w:space="0" w:color="auto"/>
            </w:tcBorders>
          </w:tcPr>
          <w:p w:rsidR="009B2599" w:rsidRPr="00B969D1" w:rsidRDefault="00CA49E8"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La dirección</w:t>
            </w: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Criterios pedagógicos para el agrupamiento del alumnado.</w:t>
            </w:r>
          </w:p>
        </w:tc>
        <w:tc>
          <w:tcPr>
            <w:tcW w:w="2657" w:type="dxa"/>
          </w:tcPr>
          <w:p w:rsidR="009B2599" w:rsidRPr="00B969D1" w:rsidRDefault="00821FA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Septiembre</w:t>
            </w:r>
          </w:p>
        </w:tc>
        <w:tc>
          <w:tcPr>
            <w:tcW w:w="2496" w:type="dxa"/>
            <w:tcBorders>
              <w:right w:val="thinThickSmallGap" w:sz="24" w:space="0" w:color="auto"/>
            </w:tcBorders>
          </w:tcPr>
          <w:p w:rsidR="009B2599" w:rsidRPr="00B969D1" w:rsidRDefault="00821FA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Coordinadores de etapa</w:t>
            </w: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Tratamiento transversal de la educación en valores</w:t>
            </w:r>
            <w:r w:rsidR="00242CCD" w:rsidRPr="00B969D1">
              <w:rPr>
                <w:rFonts w:ascii="Times New Roman" w:hAnsi="Times New Roman" w:cs="Times New Roman"/>
                <w:b/>
                <w:sz w:val="20"/>
                <w:szCs w:val="20"/>
              </w:rPr>
              <w:t>.</w:t>
            </w:r>
          </w:p>
        </w:tc>
        <w:tc>
          <w:tcPr>
            <w:tcW w:w="2657" w:type="dxa"/>
          </w:tcPr>
          <w:p w:rsidR="009B2599" w:rsidRPr="00B969D1" w:rsidRDefault="00CA49E8"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Octubre</w:t>
            </w:r>
          </w:p>
        </w:tc>
        <w:tc>
          <w:tcPr>
            <w:tcW w:w="2496" w:type="dxa"/>
            <w:tcBorders>
              <w:right w:val="thinThickSmallGap" w:sz="24" w:space="0" w:color="auto"/>
            </w:tcBorders>
          </w:tcPr>
          <w:p w:rsidR="009B2599" w:rsidRPr="00B969D1" w:rsidRDefault="00821FA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Comisión de Educación en valores</w:t>
            </w:r>
            <w:r w:rsidR="00CA49E8" w:rsidRPr="00B969D1">
              <w:rPr>
                <w:rFonts w:ascii="Times New Roman" w:hAnsi="Times New Roman" w:cs="Times New Roman"/>
                <w:sz w:val="20"/>
                <w:szCs w:val="20"/>
              </w:rPr>
              <w:t xml:space="preserve"> y dirección</w:t>
            </w:r>
            <w:r w:rsidR="00242CCD" w:rsidRPr="00B969D1">
              <w:rPr>
                <w:rFonts w:ascii="Times New Roman" w:hAnsi="Times New Roman" w:cs="Times New Roman"/>
                <w:sz w:val="20"/>
                <w:szCs w:val="20"/>
              </w:rPr>
              <w:t>.</w:t>
            </w: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Plan de atención a la diversidad</w:t>
            </w:r>
            <w:r w:rsidR="00242CCD" w:rsidRPr="00B969D1">
              <w:rPr>
                <w:rFonts w:ascii="Times New Roman" w:hAnsi="Times New Roman" w:cs="Times New Roman"/>
                <w:b/>
                <w:sz w:val="20"/>
                <w:szCs w:val="20"/>
              </w:rPr>
              <w:t>.</w:t>
            </w:r>
          </w:p>
        </w:tc>
        <w:tc>
          <w:tcPr>
            <w:tcW w:w="2657" w:type="dxa"/>
          </w:tcPr>
          <w:p w:rsidR="009B2599" w:rsidRPr="00B969D1" w:rsidRDefault="00821FA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Octubre</w:t>
            </w:r>
          </w:p>
        </w:tc>
        <w:tc>
          <w:tcPr>
            <w:tcW w:w="2496" w:type="dxa"/>
            <w:tcBorders>
              <w:right w:val="thinThickSmallGap" w:sz="24" w:space="0" w:color="auto"/>
            </w:tcBorders>
          </w:tcPr>
          <w:p w:rsidR="009B2599" w:rsidRPr="00B969D1" w:rsidRDefault="00242CCD" w:rsidP="00242CCD">
            <w:pPr>
              <w:autoSpaceDE w:val="0"/>
              <w:autoSpaceDN w:val="0"/>
              <w:adjustRightInd w:val="0"/>
              <w:rPr>
                <w:rFonts w:ascii="Times New Roman" w:hAnsi="Times New Roman" w:cs="Times New Roman"/>
                <w:sz w:val="20"/>
                <w:szCs w:val="20"/>
              </w:rPr>
            </w:pPr>
            <w:r w:rsidRPr="00B969D1">
              <w:rPr>
                <w:rFonts w:ascii="Times New Roman" w:hAnsi="Times New Roman" w:cs="Times New Roman"/>
                <w:sz w:val="20"/>
                <w:szCs w:val="20"/>
              </w:rPr>
              <w:t xml:space="preserve"> Departamento</w:t>
            </w:r>
            <w:r w:rsidR="00821FAD" w:rsidRPr="00B969D1">
              <w:rPr>
                <w:rFonts w:ascii="Times New Roman" w:hAnsi="Times New Roman" w:cs="Times New Roman"/>
                <w:sz w:val="20"/>
                <w:szCs w:val="20"/>
              </w:rPr>
              <w:t xml:space="preserve"> de apoyo a las NEAE</w:t>
            </w: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Metodología didáctica para cada curso, ciclo o etapa.</w:t>
            </w:r>
          </w:p>
        </w:tc>
        <w:tc>
          <w:tcPr>
            <w:tcW w:w="2657" w:type="dxa"/>
          </w:tcPr>
          <w:p w:rsidR="009B2599" w:rsidRPr="00B969D1" w:rsidRDefault="00821FAD" w:rsidP="00CA49E8">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Octubre</w:t>
            </w:r>
          </w:p>
        </w:tc>
        <w:tc>
          <w:tcPr>
            <w:tcW w:w="2496" w:type="dxa"/>
            <w:tcBorders>
              <w:right w:val="thinThickSmallGap" w:sz="24" w:space="0" w:color="auto"/>
            </w:tcBorders>
          </w:tcPr>
          <w:p w:rsidR="009B2599" w:rsidRPr="00B969D1" w:rsidRDefault="00821FA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Coordinadores de ciclo</w:t>
            </w:r>
            <w:r w:rsidR="00CA49E8" w:rsidRPr="00B969D1">
              <w:rPr>
                <w:rFonts w:ascii="Times New Roman" w:hAnsi="Times New Roman" w:cs="Times New Roman"/>
                <w:sz w:val="20"/>
                <w:szCs w:val="20"/>
              </w:rPr>
              <w:t xml:space="preserve"> y dirección</w:t>
            </w:r>
            <w:r w:rsidRPr="00B969D1">
              <w:rPr>
                <w:rFonts w:ascii="Times New Roman" w:hAnsi="Times New Roman" w:cs="Times New Roman"/>
                <w:sz w:val="20"/>
                <w:szCs w:val="20"/>
              </w:rPr>
              <w:t>.</w:t>
            </w: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 xml:space="preserve">Criterios para la selección de </w:t>
            </w:r>
            <w:r w:rsidRPr="00B969D1">
              <w:rPr>
                <w:rFonts w:ascii="Times New Roman" w:hAnsi="Times New Roman" w:cs="Times New Roman"/>
                <w:b/>
                <w:sz w:val="20"/>
                <w:szCs w:val="20"/>
              </w:rPr>
              <w:lastRenderedPageBreak/>
              <w:t>materiales y recursos didácticos.</w:t>
            </w:r>
          </w:p>
        </w:tc>
        <w:tc>
          <w:tcPr>
            <w:tcW w:w="2657" w:type="dxa"/>
          </w:tcPr>
          <w:p w:rsidR="009B2599" w:rsidRPr="00B969D1" w:rsidRDefault="00CA49E8"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lastRenderedPageBreak/>
              <w:t>Octubre</w:t>
            </w:r>
          </w:p>
        </w:tc>
        <w:tc>
          <w:tcPr>
            <w:tcW w:w="2496" w:type="dxa"/>
            <w:tcBorders>
              <w:right w:val="thinThickSmallGap" w:sz="24" w:space="0" w:color="auto"/>
            </w:tcBorders>
          </w:tcPr>
          <w:p w:rsidR="009B2599" w:rsidRPr="00B969D1" w:rsidRDefault="00821FA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Coordinadores de ciclo</w:t>
            </w:r>
            <w:r w:rsidR="00242CCD" w:rsidRPr="00B969D1">
              <w:rPr>
                <w:rFonts w:ascii="Times New Roman" w:hAnsi="Times New Roman" w:cs="Times New Roman"/>
                <w:sz w:val="20"/>
                <w:szCs w:val="20"/>
              </w:rPr>
              <w:t>.</w:t>
            </w: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 xml:space="preserve">Las acciones establecidas para el desarrollo de los planes y programas de contenidos educativos. </w:t>
            </w:r>
          </w:p>
        </w:tc>
        <w:tc>
          <w:tcPr>
            <w:tcW w:w="2657" w:type="dxa"/>
          </w:tcPr>
          <w:p w:rsidR="009B2599" w:rsidRPr="00B969D1" w:rsidRDefault="00CA49E8"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Septiembre-octubre</w:t>
            </w:r>
          </w:p>
        </w:tc>
        <w:tc>
          <w:tcPr>
            <w:tcW w:w="2496" w:type="dxa"/>
            <w:tcBorders>
              <w:right w:val="thinThickSmallGap" w:sz="24" w:space="0" w:color="auto"/>
            </w:tcBorders>
          </w:tcPr>
          <w:p w:rsidR="009B2599" w:rsidRPr="00B969D1" w:rsidRDefault="00637341"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Coordinadores de etapa</w:t>
            </w:r>
            <w:r w:rsidR="00CA49E8" w:rsidRPr="00B969D1">
              <w:rPr>
                <w:rFonts w:ascii="Times New Roman" w:hAnsi="Times New Roman" w:cs="Times New Roman"/>
                <w:sz w:val="20"/>
                <w:szCs w:val="20"/>
              </w:rPr>
              <w:t xml:space="preserve"> y dirección</w:t>
            </w:r>
            <w:r w:rsidR="00242CCD" w:rsidRPr="00B969D1">
              <w:rPr>
                <w:rFonts w:ascii="Times New Roman" w:hAnsi="Times New Roman" w:cs="Times New Roman"/>
                <w:sz w:val="20"/>
                <w:szCs w:val="20"/>
              </w:rPr>
              <w:t>.</w:t>
            </w: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Programaciones didácticas</w:t>
            </w:r>
          </w:p>
        </w:tc>
        <w:tc>
          <w:tcPr>
            <w:tcW w:w="2657" w:type="dxa"/>
          </w:tcPr>
          <w:p w:rsidR="009B2599" w:rsidRPr="00B969D1" w:rsidRDefault="00CA49E8"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 xml:space="preserve">Septiembre </w:t>
            </w:r>
          </w:p>
        </w:tc>
        <w:tc>
          <w:tcPr>
            <w:tcW w:w="2496" w:type="dxa"/>
            <w:tcBorders>
              <w:right w:val="thinThickSmallGap" w:sz="24" w:space="0" w:color="auto"/>
            </w:tcBorders>
          </w:tcPr>
          <w:p w:rsidR="009B2599" w:rsidRPr="00B969D1" w:rsidRDefault="00637341"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Coordinadores de etapa</w:t>
            </w:r>
            <w:r w:rsidR="00CA49E8" w:rsidRPr="00B969D1">
              <w:rPr>
                <w:rFonts w:ascii="Times New Roman" w:hAnsi="Times New Roman" w:cs="Times New Roman"/>
                <w:sz w:val="20"/>
                <w:szCs w:val="20"/>
              </w:rPr>
              <w:t xml:space="preserve"> y dirección</w:t>
            </w:r>
            <w:r w:rsidR="00242CCD" w:rsidRPr="00B969D1">
              <w:rPr>
                <w:rFonts w:ascii="Times New Roman" w:hAnsi="Times New Roman" w:cs="Times New Roman"/>
                <w:sz w:val="20"/>
                <w:szCs w:val="20"/>
              </w:rPr>
              <w:t>.</w:t>
            </w: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 xml:space="preserve">Plan de actividades extraescolares y complementarias. </w:t>
            </w:r>
          </w:p>
        </w:tc>
        <w:tc>
          <w:tcPr>
            <w:tcW w:w="2657" w:type="dxa"/>
          </w:tcPr>
          <w:p w:rsidR="009B2599" w:rsidRPr="00B969D1" w:rsidRDefault="00242CC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Septiembre- O</w:t>
            </w:r>
            <w:r w:rsidR="00CA49E8" w:rsidRPr="00B969D1">
              <w:rPr>
                <w:rFonts w:ascii="Times New Roman" w:hAnsi="Times New Roman" w:cs="Times New Roman"/>
                <w:sz w:val="20"/>
                <w:szCs w:val="20"/>
              </w:rPr>
              <w:t>ctubre</w:t>
            </w:r>
          </w:p>
        </w:tc>
        <w:tc>
          <w:tcPr>
            <w:tcW w:w="2496" w:type="dxa"/>
            <w:tcBorders>
              <w:right w:val="thinThickSmallGap" w:sz="24" w:space="0" w:color="auto"/>
            </w:tcBorders>
          </w:tcPr>
          <w:p w:rsidR="009B2599" w:rsidRPr="00B969D1" w:rsidRDefault="00637341"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Comisión de actividades extraescolares y complementarias</w:t>
            </w:r>
          </w:p>
        </w:tc>
      </w:tr>
      <w:tr w:rsidR="009B2599" w:rsidRPr="00742D2B" w:rsidTr="00742D2B">
        <w:trPr>
          <w:jc w:val="center"/>
        </w:trPr>
        <w:tc>
          <w:tcPr>
            <w:tcW w:w="2150" w:type="dxa"/>
            <w:tcBorders>
              <w:top w:val="double" w:sz="4" w:space="0" w:color="auto"/>
              <w:left w:val="thinThickSmallGap" w:sz="24" w:space="0" w:color="auto"/>
              <w:bottom w:val="double" w:sz="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b/>
                <w:sz w:val="24"/>
                <w:szCs w:val="24"/>
              </w:rPr>
            </w:pPr>
            <w:r w:rsidRPr="00742D2B">
              <w:rPr>
                <w:rFonts w:ascii="Times New Roman" w:hAnsi="Times New Roman" w:cs="Times New Roman"/>
                <w:b/>
                <w:sz w:val="24"/>
                <w:szCs w:val="24"/>
              </w:rPr>
              <w:t>PROFESIONAL</w:t>
            </w:r>
          </w:p>
        </w:tc>
        <w:tc>
          <w:tcPr>
            <w:tcW w:w="2825" w:type="dxa"/>
            <w:tcBorders>
              <w:top w:val="double" w:sz="4" w:space="0" w:color="auto"/>
              <w:bottom w:val="double" w:sz="4" w:space="0" w:color="auto"/>
            </w:tcBorders>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 xml:space="preserve">Criterios de evaluación </w:t>
            </w:r>
          </w:p>
        </w:tc>
        <w:tc>
          <w:tcPr>
            <w:tcW w:w="2657" w:type="dxa"/>
            <w:tcBorders>
              <w:top w:val="double" w:sz="4" w:space="0" w:color="auto"/>
              <w:bottom w:val="double" w:sz="4" w:space="0" w:color="auto"/>
            </w:tcBorders>
          </w:tcPr>
          <w:p w:rsidR="009B2599" w:rsidRPr="00B969D1" w:rsidRDefault="00CA49E8"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Septiembre</w:t>
            </w:r>
          </w:p>
        </w:tc>
        <w:tc>
          <w:tcPr>
            <w:tcW w:w="2496" w:type="dxa"/>
            <w:tcBorders>
              <w:top w:val="double" w:sz="4" w:space="0" w:color="auto"/>
              <w:bottom w:val="double" w:sz="4" w:space="0" w:color="auto"/>
              <w:right w:val="thinThickSmallGap" w:sz="24" w:space="0" w:color="auto"/>
            </w:tcBorders>
          </w:tcPr>
          <w:p w:rsidR="009B2599" w:rsidRPr="00B969D1" w:rsidRDefault="00637341"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Coordinadores de etapa y dirección</w:t>
            </w:r>
          </w:p>
        </w:tc>
      </w:tr>
      <w:tr w:rsidR="009B2599" w:rsidRPr="00742D2B" w:rsidTr="00742D2B">
        <w:trPr>
          <w:jc w:val="center"/>
        </w:trPr>
        <w:tc>
          <w:tcPr>
            <w:tcW w:w="2150" w:type="dxa"/>
            <w:vMerge w:val="restart"/>
            <w:tcBorders>
              <w:top w:val="double" w:sz="4" w:space="0" w:color="auto"/>
              <w:left w:val="thinThickSmallGap" w:sz="24" w:space="0" w:color="auto"/>
            </w:tcBorders>
            <w:shd w:val="clear" w:color="auto" w:fill="EAF1DD" w:themeFill="accent3" w:themeFillTint="33"/>
          </w:tcPr>
          <w:p w:rsidR="009B2599" w:rsidRPr="00742D2B" w:rsidRDefault="009B2599" w:rsidP="00242CCD">
            <w:pPr>
              <w:autoSpaceDE w:val="0"/>
              <w:autoSpaceDN w:val="0"/>
              <w:adjustRightInd w:val="0"/>
              <w:jc w:val="center"/>
              <w:rPr>
                <w:rFonts w:ascii="Times New Roman" w:hAnsi="Times New Roman" w:cs="Times New Roman"/>
                <w:b/>
                <w:sz w:val="24"/>
                <w:szCs w:val="24"/>
              </w:rPr>
            </w:pPr>
            <w:r w:rsidRPr="00742D2B">
              <w:rPr>
                <w:rFonts w:ascii="Times New Roman" w:hAnsi="Times New Roman" w:cs="Times New Roman"/>
                <w:b/>
                <w:sz w:val="24"/>
                <w:szCs w:val="24"/>
              </w:rPr>
              <w:t>SOCIAL</w:t>
            </w:r>
          </w:p>
          <w:p w:rsidR="00242CCD" w:rsidRPr="00742D2B" w:rsidRDefault="00242CCD" w:rsidP="00242CCD">
            <w:pPr>
              <w:autoSpaceDE w:val="0"/>
              <w:autoSpaceDN w:val="0"/>
              <w:adjustRightInd w:val="0"/>
              <w:jc w:val="both"/>
              <w:rPr>
                <w:rFonts w:ascii="Times New Roman" w:hAnsi="Times New Roman" w:cs="Times New Roman"/>
                <w:sz w:val="24"/>
                <w:szCs w:val="24"/>
              </w:rPr>
            </w:pPr>
          </w:p>
        </w:tc>
        <w:tc>
          <w:tcPr>
            <w:tcW w:w="2825" w:type="dxa"/>
            <w:tcBorders>
              <w:top w:val="double" w:sz="4" w:space="0" w:color="auto"/>
            </w:tcBorders>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Acciones programadas para fomentar la participación, colaboración y formación entre todos los sectores de la comunidad educativa.</w:t>
            </w:r>
          </w:p>
        </w:tc>
        <w:tc>
          <w:tcPr>
            <w:tcW w:w="2657" w:type="dxa"/>
            <w:tcBorders>
              <w:top w:val="double" w:sz="4" w:space="0" w:color="auto"/>
            </w:tcBorders>
          </w:tcPr>
          <w:p w:rsidR="009B2599" w:rsidRPr="00B969D1" w:rsidRDefault="00242CC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O</w:t>
            </w:r>
            <w:r w:rsidR="00637341" w:rsidRPr="00B969D1">
              <w:rPr>
                <w:rFonts w:ascii="Times New Roman" w:hAnsi="Times New Roman" w:cs="Times New Roman"/>
                <w:sz w:val="20"/>
                <w:szCs w:val="20"/>
              </w:rPr>
              <w:t>ctubre</w:t>
            </w:r>
          </w:p>
        </w:tc>
        <w:tc>
          <w:tcPr>
            <w:tcW w:w="2496" w:type="dxa"/>
            <w:tcBorders>
              <w:top w:val="double" w:sz="4" w:space="0" w:color="auto"/>
              <w:right w:val="thinThickSmallGap" w:sz="24" w:space="0" w:color="auto"/>
            </w:tcBorders>
          </w:tcPr>
          <w:p w:rsidR="009B2599" w:rsidRPr="00B969D1" w:rsidRDefault="00637341"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La dirección</w:t>
            </w:r>
          </w:p>
          <w:p w:rsidR="00242CCD" w:rsidRPr="00B969D1" w:rsidRDefault="00242CCD" w:rsidP="00821FAD">
            <w:pPr>
              <w:autoSpaceDE w:val="0"/>
              <w:autoSpaceDN w:val="0"/>
              <w:adjustRightInd w:val="0"/>
              <w:jc w:val="center"/>
              <w:rPr>
                <w:rFonts w:ascii="Times New Roman" w:hAnsi="Times New Roman" w:cs="Times New Roman"/>
                <w:sz w:val="20"/>
                <w:szCs w:val="20"/>
              </w:rPr>
            </w:pPr>
          </w:p>
        </w:tc>
      </w:tr>
      <w:tr w:rsidR="009B2599" w:rsidRPr="00742D2B" w:rsidTr="00742D2B">
        <w:trPr>
          <w:jc w:val="center"/>
        </w:trPr>
        <w:tc>
          <w:tcPr>
            <w:tcW w:w="2150" w:type="dxa"/>
            <w:vMerge/>
            <w:tcBorders>
              <w:left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Acciones pr</w:t>
            </w:r>
            <w:r w:rsidR="00637341" w:rsidRPr="00B969D1">
              <w:rPr>
                <w:rFonts w:ascii="Times New Roman" w:hAnsi="Times New Roman" w:cs="Times New Roman"/>
                <w:b/>
                <w:sz w:val="20"/>
                <w:szCs w:val="20"/>
              </w:rPr>
              <w:t>o</w:t>
            </w:r>
            <w:r w:rsidRPr="00B969D1">
              <w:rPr>
                <w:rFonts w:ascii="Times New Roman" w:hAnsi="Times New Roman" w:cs="Times New Roman"/>
                <w:b/>
                <w:sz w:val="20"/>
                <w:szCs w:val="20"/>
              </w:rPr>
              <w:t>gramadas para la apertura del centro al entorno social y cultural.</w:t>
            </w:r>
          </w:p>
        </w:tc>
        <w:tc>
          <w:tcPr>
            <w:tcW w:w="2657" w:type="dxa"/>
          </w:tcPr>
          <w:p w:rsidR="009B2599" w:rsidRPr="00B969D1" w:rsidRDefault="00242CC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O</w:t>
            </w:r>
            <w:r w:rsidR="00637341" w:rsidRPr="00B969D1">
              <w:rPr>
                <w:rFonts w:ascii="Times New Roman" w:hAnsi="Times New Roman" w:cs="Times New Roman"/>
                <w:sz w:val="20"/>
                <w:szCs w:val="20"/>
              </w:rPr>
              <w:t>ctubre</w:t>
            </w:r>
          </w:p>
        </w:tc>
        <w:tc>
          <w:tcPr>
            <w:tcW w:w="2496" w:type="dxa"/>
            <w:tcBorders>
              <w:right w:val="thinThickSmallGap" w:sz="24" w:space="0" w:color="auto"/>
            </w:tcBorders>
          </w:tcPr>
          <w:p w:rsidR="009B2599" w:rsidRPr="00B969D1" w:rsidRDefault="00637341"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La dirección</w:t>
            </w:r>
          </w:p>
        </w:tc>
      </w:tr>
      <w:tr w:rsidR="009B2599" w:rsidRPr="00742D2B" w:rsidTr="00742D2B">
        <w:trPr>
          <w:jc w:val="center"/>
        </w:trPr>
        <w:tc>
          <w:tcPr>
            <w:tcW w:w="2150" w:type="dxa"/>
            <w:vMerge/>
            <w:tcBorders>
              <w:left w:val="thinThickSmallGap" w:sz="24" w:space="0" w:color="auto"/>
              <w:bottom w:val="thinThickSmallGap" w:sz="24" w:space="0" w:color="auto"/>
            </w:tcBorders>
            <w:shd w:val="clear" w:color="auto" w:fill="EAF1DD" w:themeFill="accent3" w:themeFillTint="33"/>
          </w:tcPr>
          <w:p w:rsidR="009B2599" w:rsidRPr="00742D2B" w:rsidRDefault="009B2599" w:rsidP="00030EF5">
            <w:pPr>
              <w:autoSpaceDE w:val="0"/>
              <w:autoSpaceDN w:val="0"/>
              <w:adjustRightInd w:val="0"/>
              <w:rPr>
                <w:rFonts w:ascii="Times New Roman" w:hAnsi="Times New Roman" w:cs="Times New Roman"/>
                <w:sz w:val="24"/>
                <w:szCs w:val="24"/>
              </w:rPr>
            </w:pPr>
          </w:p>
        </w:tc>
        <w:tc>
          <w:tcPr>
            <w:tcW w:w="2825" w:type="dxa"/>
            <w:tcBorders>
              <w:bottom w:val="thinThickSmallGap" w:sz="24" w:space="0" w:color="auto"/>
            </w:tcBorders>
          </w:tcPr>
          <w:p w:rsidR="009B2599" w:rsidRPr="00B969D1" w:rsidRDefault="009B2599" w:rsidP="00821FAD">
            <w:pPr>
              <w:autoSpaceDE w:val="0"/>
              <w:autoSpaceDN w:val="0"/>
              <w:adjustRightInd w:val="0"/>
              <w:jc w:val="both"/>
              <w:rPr>
                <w:rFonts w:ascii="Times New Roman" w:hAnsi="Times New Roman" w:cs="Times New Roman"/>
                <w:b/>
                <w:sz w:val="20"/>
                <w:szCs w:val="20"/>
              </w:rPr>
            </w:pPr>
            <w:r w:rsidRPr="00B969D1">
              <w:rPr>
                <w:rFonts w:ascii="Times New Roman" w:hAnsi="Times New Roman" w:cs="Times New Roman"/>
                <w:b/>
                <w:sz w:val="20"/>
                <w:szCs w:val="20"/>
              </w:rPr>
              <w:t>Previsión de convenios y acuerdos de colaboración con otras instituciones.</w:t>
            </w:r>
          </w:p>
        </w:tc>
        <w:tc>
          <w:tcPr>
            <w:tcW w:w="2657" w:type="dxa"/>
            <w:tcBorders>
              <w:bottom w:val="thinThickSmallGap" w:sz="24" w:space="0" w:color="auto"/>
            </w:tcBorders>
          </w:tcPr>
          <w:p w:rsidR="009B2599" w:rsidRPr="00B969D1" w:rsidRDefault="00242CCD"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O</w:t>
            </w:r>
            <w:r w:rsidR="00637341" w:rsidRPr="00B969D1">
              <w:rPr>
                <w:rFonts w:ascii="Times New Roman" w:hAnsi="Times New Roman" w:cs="Times New Roman"/>
                <w:sz w:val="20"/>
                <w:szCs w:val="20"/>
              </w:rPr>
              <w:t>ctubre</w:t>
            </w:r>
          </w:p>
        </w:tc>
        <w:tc>
          <w:tcPr>
            <w:tcW w:w="2496" w:type="dxa"/>
            <w:tcBorders>
              <w:bottom w:val="thinThickSmallGap" w:sz="24" w:space="0" w:color="auto"/>
              <w:right w:val="thinThickSmallGap" w:sz="24" w:space="0" w:color="auto"/>
            </w:tcBorders>
          </w:tcPr>
          <w:p w:rsidR="009B2599" w:rsidRPr="00B969D1" w:rsidRDefault="00637341" w:rsidP="00821FAD">
            <w:pPr>
              <w:autoSpaceDE w:val="0"/>
              <w:autoSpaceDN w:val="0"/>
              <w:adjustRightInd w:val="0"/>
              <w:jc w:val="center"/>
              <w:rPr>
                <w:rFonts w:ascii="Times New Roman" w:hAnsi="Times New Roman" w:cs="Times New Roman"/>
                <w:sz w:val="20"/>
                <w:szCs w:val="20"/>
              </w:rPr>
            </w:pPr>
            <w:r w:rsidRPr="00B969D1">
              <w:rPr>
                <w:rFonts w:ascii="Times New Roman" w:hAnsi="Times New Roman" w:cs="Times New Roman"/>
                <w:sz w:val="20"/>
                <w:szCs w:val="20"/>
              </w:rPr>
              <w:t>La dirección</w:t>
            </w:r>
          </w:p>
        </w:tc>
      </w:tr>
    </w:tbl>
    <w:p w:rsidR="00030EF5" w:rsidRPr="00742D2B" w:rsidRDefault="00030EF5" w:rsidP="00030EF5">
      <w:pPr>
        <w:autoSpaceDE w:val="0"/>
        <w:autoSpaceDN w:val="0"/>
        <w:adjustRightInd w:val="0"/>
        <w:spacing w:after="0" w:line="240" w:lineRule="auto"/>
        <w:rPr>
          <w:rFonts w:ascii="Times New Roman" w:hAnsi="Times New Roman" w:cs="Times New Roman"/>
          <w:sz w:val="24"/>
          <w:szCs w:val="24"/>
        </w:rPr>
      </w:pPr>
    </w:p>
    <w:p w:rsidR="00C50EF2" w:rsidRPr="00742D2B" w:rsidRDefault="00C50EF2" w:rsidP="00030EF5">
      <w:pPr>
        <w:rPr>
          <w:rFonts w:ascii="Times New Roman" w:hAnsi="Times New Roman" w:cs="Times New Roman"/>
          <w:sz w:val="24"/>
          <w:szCs w:val="24"/>
        </w:rPr>
      </w:pPr>
    </w:p>
    <w:p w:rsidR="00C50EF2" w:rsidRPr="00742D2B" w:rsidRDefault="00637341" w:rsidP="00637341">
      <w:pPr>
        <w:spacing w:after="240" w:line="240" w:lineRule="auto"/>
        <w:ind w:firstLine="708"/>
        <w:jc w:val="both"/>
        <w:rPr>
          <w:rFonts w:ascii="Times New Roman" w:eastAsia="Times New Roman" w:hAnsi="Times New Roman" w:cs="Times New Roman"/>
          <w:sz w:val="24"/>
          <w:szCs w:val="24"/>
        </w:rPr>
      </w:pPr>
      <w:r w:rsidRPr="00742D2B">
        <w:rPr>
          <w:rFonts w:ascii="Times New Roman" w:eastAsia="Times New Roman" w:hAnsi="Times New Roman" w:cs="Times New Roman"/>
          <w:sz w:val="24"/>
          <w:szCs w:val="24"/>
        </w:rPr>
        <w:t>Todos y cada uno de es</w:t>
      </w:r>
      <w:r w:rsidR="00006182" w:rsidRPr="00742D2B">
        <w:rPr>
          <w:rFonts w:ascii="Times New Roman" w:eastAsia="Times New Roman" w:hAnsi="Times New Roman" w:cs="Times New Roman"/>
          <w:sz w:val="24"/>
          <w:szCs w:val="24"/>
        </w:rPr>
        <w:t>tos documentos serán actualizados y  elaborados</w:t>
      </w:r>
      <w:r w:rsidRPr="00742D2B">
        <w:rPr>
          <w:rFonts w:ascii="Times New Roman" w:eastAsia="Times New Roman" w:hAnsi="Times New Roman" w:cs="Times New Roman"/>
          <w:sz w:val="24"/>
          <w:szCs w:val="24"/>
        </w:rPr>
        <w:t xml:space="preserve">, en su caso,  en subcomisiones de trabajo dentro del claustro y discutidos y aprobados por el mismo. </w:t>
      </w:r>
    </w:p>
    <w:p w:rsidR="00CA21C6" w:rsidRPr="00242CCD" w:rsidRDefault="00CA21C6" w:rsidP="00242CCD">
      <w:pPr>
        <w:tabs>
          <w:tab w:val="left" w:pos="6399"/>
        </w:tabs>
      </w:pPr>
      <w:bookmarkStart w:id="0" w:name="_GoBack"/>
      <w:bookmarkEnd w:id="0"/>
    </w:p>
    <w:sectPr w:rsidR="00CA21C6" w:rsidRPr="00242CCD" w:rsidSect="00742D2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4D4" w:rsidRDefault="001624D4" w:rsidP="00C50EF2">
      <w:pPr>
        <w:spacing w:after="0" w:line="240" w:lineRule="auto"/>
      </w:pPr>
      <w:r>
        <w:separator/>
      </w:r>
    </w:p>
  </w:endnote>
  <w:endnote w:type="continuationSeparator" w:id="1">
    <w:p w:rsidR="001624D4" w:rsidRDefault="001624D4" w:rsidP="00C50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3270"/>
      <w:docPartObj>
        <w:docPartGallery w:val="Page Numbers (Bottom of Page)"/>
        <w:docPartUnique/>
      </w:docPartObj>
    </w:sdtPr>
    <w:sdtContent>
      <w:p w:rsidR="001624D4" w:rsidRDefault="00756EEF">
        <w:pPr>
          <w:pStyle w:val="Piedepgina"/>
          <w:jc w:val="right"/>
        </w:pPr>
        <w:fldSimple w:instr=" PAGE   \* MERGEFORMAT ">
          <w:r w:rsidR="008C24D8">
            <w:rPr>
              <w:noProof/>
            </w:rPr>
            <w:t>2</w:t>
          </w:r>
        </w:fldSimple>
      </w:p>
    </w:sdtContent>
  </w:sdt>
  <w:p w:rsidR="001624D4" w:rsidRDefault="001624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4D4" w:rsidRDefault="001624D4" w:rsidP="00C50EF2">
      <w:pPr>
        <w:spacing w:after="0" w:line="240" w:lineRule="auto"/>
      </w:pPr>
      <w:r>
        <w:separator/>
      </w:r>
    </w:p>
  </w:footnote>
  <w:footnote w:type="continuationSeparator" w:id="1">
    <w:p w:rsidR="001624D4" w:rsidRDefault="001624D4" w:rsidP="00C50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D4" w:rsidRDefault="001624D4">
    <w:pPr>
      <w:pStyle w:val="Encabezado"/>
    </w:pPr>
    <w:r>
      <w:rPr>
        <w:noProof/>
      </w:rPr>
      <w:drawing>
        <wp:anchor distT="0" distB="0" distL="114300" distR="114300" simplePos="0" relativeHeight="251658240" behindDoc="0" locked="0" layoutInCell="1" allowOverlap="1">
          <wp:simplePos x="0" y="0"/>
          <wp:positionH relativeFrom="column">
            <wp:posOffset>4904740</wp:posOffset>
          </wp:positionH>
          <wp:positionV relativeFrom="paragraph">
            <wp:posOffset>-44450</wp:posOffset>
          </wp:positionV>
          <wp:extent cx="1372235" cy="882015"/>
          <wp:effectExtent l="19050" t="0" r="0" b="0"/>
          <wp:wrapThrough wrapText="bothSides">
            <wp:wrapPolygon edited="0">
              <wp:start x="-300" y="0"/>
              <wp:lineTo x="-300" y="20994"/>
              <wp:lineTo x="21590" y="20994"/>
              <wp:lineTo x="21590" y="0"/>
              <wp:lineTo x="-300" y="0"/>
            </wp:wrapPolygon>
          </wp:wrapThrough>
          <wp:docPr id="1" name="Imagen 1" descr="higuerita1"/>
          <wp:cNvGraphicFramePr/>
          <a:graphic xmlns:a="http://schemas.openxmlformats.org/drawingml/2006/main">
            <a:graphicData uri="http://schemas.openxmlformats.org/drawingml/2006/picture">
              <pic:pic xmlns:pic="http://schemas.openxmlformats.org/drawingml/2006/picture">
                <pic:nvPicPr>
                  <pic:cNvPr id="0" name="Imagen 9" descr="higuerita1"/>
                  <pic:cNvPicPr>
                    <a:picLocks noChangeAspect="1" noChangeArrowheads="1"/>
                  </pic:cNvPicPr>
                </pic:nvPicPr>
                <pic:blipFill>
                  <a:blip r:embed="rId1"/>
                  <a:srcRect/>
                  <a:stretch>
                    <a:fillRect/>
                  </a:stretch>
                </pic:blipFill>
                <pic:spPr bwMode="auto">
                  <a:xfrm>
                    <a:off x="0" y="0"/>
                    <a:ext cx="1372235" cy="882015"/>
                  </a:xfrm>
                  <a:prstGeom prst="rect">
                    <a:avLst/>
                  </a:prstGeom>
                  <a:noFill/>
                </pic:spPr>
              </pic:pic>
            </a:graphicData>
          </a:graphic>
        </wp:anchor>
      </w:drawing>
    </w:r>
  </w:p>
  <w:p w:rsidR="001624D4" w:rsidRDefault="001624D4">
    <w:pPr>
      <w:pStyle w:val="Encabezado"/>
    </w:pPr>
  </w:p>
  <w:p w:rsidR="001624D4" w:rsidRDefault="001624D4">
    <w:pPr>
      <w:pStyle w:val="Encabezado"/>
    </w:pPr>
  </w:p>
  <w:p w:rsidR="001624D4" w:rsidRDefault="001624D4">
    <w:pPr>
      <w:pStyle w:val="Encabezado"/>
    </w:pPr>
  </w:p>
  <w:p w:rsidR="001624D4" w:rsidRDefault="001624D4" w:rsidP="00742D2B">
    <w:pPr>
      <w:pStyle w:val="Encabezado"/>
      <w:rPr>
        <w:rFonts w:ascii="Bahnschrift SemiLight SemiConde" w:hAnsi="Bahnschrift SemiLight SemiConde"/>
        <w:b/>
      </w:rPr>
    </w:pPr>
  </w:p>
  <w:p w:rsidR="001624D4" w:rsidRDefault="001624D4" w:rsidP="00742D2B">
    <w:pPr>
      <w:pStyle w:val="Encabezado"/>
      <w:ind w:left="708"/>
      <w:jc w:val="center"/>
      <w:rPr>
        <w:rFonts w:ascii="Bahnschrift SemiLight SemiConde" w:hAnsi="Bahnschrift SemiLight SemiConde"/>
        <w:b/>
      </w:rPr>
    </w:pPr>
    <w:r>
      <w:rPr>
        <w:rFonts w:ascii="Bahnschrift SemiLight SemiConde" w:hAnsi="Bahnschrift SemiLight SemiConde"/>
        <w:b/>
      </w:rPr>
      <w:tab/>
    </w:r>
    <w:r>
      <w:rPr>
        <w:rFonts w:ascii="Bahnschrift SemiLight SemiConde" w:hAnsi="Bahnschrift SemiLight SemiConde"/>
        <w:b/>
      </w:rPr>
      <w:tab/>
      <w:t xml:space="preserve">                       PGA 202</w:t>
    </w:r>
    <w:r w:rsidR="008C24D8">
      <w:rPr>
        <w:rFonts w:ascii="Bahnschrift SemiLight SemiConde" w:hAnsi="Bahnschrift SemiLight SemiConde"/>
        <w:b/>
      </w:rPr>
      <w:t>3</w:t>
    </w:r>
    <w:r>
      <w:rPr>
        <w:rFonts w:ascii="Bahnschrift SemiLight SemiConde" w:hAnsi="Bahnschrift SemiLight SemiConde"/>
        <w:b/>
      </w:rPr>
      <w:t>/2</w:t>
    </w:r>
    <w:r w:rsidR="008C24D8">
      <w:rPr>
        <w:rFonts w:ascii="Bahnschrift SemiLight SemiConde" w:hAnsi="Bahnschrift SemiLight SemiConde"/>
        <w:b/>
      </w:rPr>
      <w:t>4</w:t>
    </w:r>
  </w:p>
  <w:p w:rsidR="001624D4" w:rsidRDefault="001624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C5"/>
      </v:shape>
    </w:pict>
  </w:numPicBullet>
  <w:abstractNum w:abstractNumId="0">
    <w:nsid w:val="7BAC5B91"/>
    <w:multiLevelType w:val="hybridMultilevel"/>
    <w:tmpl w:val="9C3E95DE"/>
    <w:lvl w:ilvl="0" w:tplc="0C0A0007">
      <w:start w:val="1"/>
      <w:numFmt w:val="bullet"/>
      <w:lvlText w:val=""/>
      <w:lvlPicBulletId w:val="0"/>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FELayout/>
  </w:compat>
  <w:rsids>
    <w:rsidRoot w:val="00C50EF2"/>
    <w:rsid w:val="00006182"/>
    <w:rsid w:val="00030EF5"/>
    <w:rsid w:val="000479EB"/>
    <w:rsid w:val="00097319"/>
    <w:rsid w:val="000E19B1"/>
    <w:rsid w:val="00115C07"/>
    <w:rsid w:val="001624D4"/>
    <w:rsid w:val="001D1945"/>
    <w:rsid w:val="00242CCD"/>
    <w:rsid w:val="002A3D2F"/>
    <w:rsid w:val="003B0A8F"/>
    <w:rsid w:val="003B4ED7"/>
    <w:rsid w:val="004C0FCF"/>
    <w:rsid w:val="005F7D03"/>
    <w:rsid w:val="00637341"/>
    <w:rsid w:val="00640B25"/>
    <w:rsid w:val="00646CAC"/>
    <w:rsid w:val="006C694E"/>
    <w:rsid w:val="006E3CC3"/>
    <w:rsid w:val="00742D2B"/>
    <w:rsid w:val="00756EEF"/>
    <w:rsid w:val="00784DEC"/>
    <w:rsid w:val="007E3659"/>
    <w:rsid w:val="00821FAD"/>
    <w:rsid w:val="008C24D8"/>
    <w:rsid w:val="009A77D9"/>
    <w:rsid w:val="009B2599"/>
    <w:rsid w:val="00A57F77"/>
    <w:rsid w:val="00AE10CB"/>
    <w:rsid w:val="00AE131D"/>
    <w:rsid w:val="00B638DA"/>
    <w:rsid w:val="00B969D1"/>
    <w:rsid w:val="00C50EF2"/>
    <w:rsid w:val="00CA21C6"/>
    <w:rsid w:val="00CA49E8"/>
    <w:rsid w:val="00CF0406"/>
    <w:rsid w:val="00D71A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E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EF2"/>
  </w:style>
  <w:style w:type="paragraph" w:styleId="Sinespaciado">
    <w:name w:val="No Spacing"/>
    <w:link w:val="SinespaciadoCar"/>
    <w:uiPriority w:val="1"/>
    <w:qFormat/>
    <w:rsid w:val="00C50EF2"/>
    <w:pPr>
      <w:spacing w:after="0" w:line="240" w:lineRule="auto"/>
    </w:pPr>
  </w:style>
  <w:style w:type="character" w:customStyle="1" w:styleId="SinespaciadoCar">
    <w:name w:val="Sin espaciado Car"/>
    <w:basedOn w:val="Fuentedeprrafopredeter"/>
    <w:link w:val="Sinespaciado"/>
    <w:uiPriority w:val="1"/>
    <w:rsid w:val="00C50EF2"/>
    <w:rPr>
      <w:rFonts w:eastAsiaTheme="minorEastAsia"/>
    </w:rPr>
  </w:style>
  <w:style w:type="paragraph" w:styleId="NormalWeb">
    <w:name w:val="Normal (Web)"/>
    <w:basedOn w:val="Normal"/>
    <w:uiPriority w:val="99"/>
    <w:semiHidden/>
    <w:unhideWhenUsed/>
    <w:rsid w:val="00C50EF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50EF2"/>
    <w:pPr>
      <w:ind w:left="720"/>
      <w:contextualSpacing/>
    </w:pPr>
  </w:style>
  <w:style w:type="paragraph" w:styleId="Textodeglobo">
    <w:name w:val="Balloon Text"/>
    <w:basedOn w:val="Normal"/>
    <w:link w:val="TextodegloboCar"/>
    <w:uiPriority w:val="99"/>
    <w:semiHidden/>
    <w:unhideWhenUsed/>
    <w:rsid w:val="00C50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EF2"/>
    <w:rPr>
      <w:rFonts w:ascii="Tahoma" w:hAnsi="Tahoma" w:cs="Tahoma"/>
      <w:sz w:val="16"/>
      <w:szCs w:val="16"/>
    </w:rPr>
  </w:style>
  <w:style w:type="paragraph" w:styleId="Piedepgina">
    <w:name w:val="footer"/>
    <w:basedOn w:val="Normal"/>
    <w:link w:val="PiedepginaCar"/>
    <w:uiPriority w:val="99"/>
    <w:unhideWhenUsed/>
    <w:rsid w:val="00C50E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EF2"/>
  </w:style>
  <w:style w:type="table" w:styleId="Tablaconcuadrcula">
    <w:name w:val="Table Grid"/>
    <w:basedOn w:val="Tablanormal"/>
    <w:uiPriority w:val="59"/>
    <w:rsid w:val="00030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E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EF2"/>
  </w:style>
  <w:style w:type="paragraph" w:styleId="Sinespaciado">
    <w:name w:val="No Spacing"/>
    <w:link w:val="SinespaciadoCar"/>
    <w:uiPriority w:val="1"/>
    <w:qFormat/>
    <w:rsid w:val="00C50EF2"/>
    <w:pPr>
      <w:spacing w:after="0" w:line="240" w:lineRule="auto"/>
    </w:pPr>
  </w:style>
  <w:style w:type="character" w:customStyle="1" w:styleId="SinespaciadoCar">
    <w:name w:val="Sin espaciado Car"/>
    <w:basedOn w:val="Fuentedeprrafopredeter"/>
    <w:link w:val="Sinespaciado"/>
    <w:uiPriority w:val="1"/>
    <w:rsid w:val="00C50EF2"/>
    <w:rPr>
      <w:rFonts w:eastAsiaTheme="minorEastAsia"/>
    </w:rPr>
  </w:style>
  <w:style w:type="paragraph" w:styleId="NormalWeb">
    <w:name w:val="Normal (Web)"/>
    <w:basedOn w:val="Normal"/>
    <w:uiPriority w:val="99"/>
    <w:semiHidden/>
    <w:unhideWhenUsed/>
    <w:rsid w:val="00C50EF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50EF2"/>
    <w:pPr>
      <w:ind w:left="720"/>
      <w:contextualSpacing/>
    </w:pPr>
  </w:style>
  <w:style w:type="paragraph" w:styleId="Textodeglobo">
    <w:name w:val="Balloon Text"/>
    <w:basedOn w:val="Normal"/>
    <w:link w:val="TextodegloboCar"/>
    <w:uiPriority w:val="99"/>
    <w:semiHidden/>
    <w:unhideWhenUsed/>
    <w:rsid w:val="00C50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EF2"/>
    <w:rPr>
      <w:rFonts w:ascii="Tahoma" w:hAnsi="Tahoma" w:cs="Tahoma"/>
      <w:sz w:val="16"/>
      <w:szCs w:val="16"/>
    </w:rPr>
  </w:style>
  <w:style w:type="paragraph" w:styleId="Piedepgina">
    <w:name w:val="footer"/>
    <w:basedOn w:val="Normal"/>
    <w:link w:val="PiedepginaCar"/>
    <w:uiPriority w:val="99"/>
    <w:semiHidden/>
    <w:unhideWhenUsed/>
    <w:rsid w:val="00C50E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50EF2"/>
  </w:style>
  <w:style w:type="table" w:styleId="Tablaconcuadrcula">
    <w:name w:val="Table Grid"/>
    <w:basedOn w:val="Tablanormal"/>
    <w:uiPriority w:val="59"/>
    <w:rsid w:val="00030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Suárez Borrego</dc:creator>
  <cp:lastModifiedBy>HP</cp:lastModifiedBy>
  <cp:revision>14</cp:revision>
  <dcterms:created xsi:type="dcterms:W3CDTF">2015-10-18T12:10:00Z</dcterms:created>
  <dcterms:modified xsi:type="dcterms:W3CDTF">2023-09-27T13:42:00Z</dcterms:modified>
</cp:coreProperties>
</file>